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3F8D" w14:textId="10B19EF1" w:rsidR="00C83D76" w:rsidRPr="00C83D76" w:rsidRDefault="00C83D76" w:rsidP="00C83D76">
      <w:pPr>
        <w:ind w:right="-858" w:hanging="709"/>
        <w:rPr>
          <w:rFonts w:ascii="Arial" w:hAnsi="Arial" w:cs="Arial"/>
          <w:color w:val="808080" w:themeColor="background1" w:themeShade="80"/>
          <w:sz w:val="40"/>
          <w:szCs w:val="40"/>
        </w:rPr>
      </w:pPr>
      <w:r w:rsidRPr="00C83D76">
        <w:rPr>
          <w:rFonts w:ascii="Arial" w:hAnsi="Arial" w:cs="Arial"/>
          <w:color w:val="808080" w:themeColor="background1" w:themeShade="80"/>
          <w:sz w:val="40"/>
          <w:szCs w:val="40"/>
        </w:rPr>
        <w:t>This policy is available in large print on request.</w:t>
      </w:r>
    </w:p>
    <w:p w14:paraId="73EC4BAC" w14:textId="092B2CFD" w:rsidR="003B78C0" w:rsidRPr="00572854" w:rsidRDefault="00C83D76" w:rsidP="00BB1935">
      <w:pPr>
        <w:ind w:right="-574" w:hanging="709"/>
        <w:jc w:val="center"/>
        <w:rPr>
          <w:rFonts w:ascii="Arial" w:hAnsi="Arial" w:cs="Arial"/>
          <w:sz w:val="40"/>
          <w:szCs w:val="40"/>
        </w:rPr>
      </w:pPr>
      <w:r w:rsidRPr="00572854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6800EA5" wp14:editId="4BDB6C41">
            <wp:simplePos x="0" y="0"/>
            <wp:positionH relativeFrom="column">
              <wp:posOffset>4267200</wp:posOffset>
            </wp:positionH>
            <wp:positionV relativeFrom="paragraph">
              <wp:posOffset>17780</wp:posOffset>
            </wp:positionV>
            <wp:extent cx="1663065" cy="595631"/>
            <wp:effectExtent l="0" t="0" r="0" b="0"/>
            <wp:wrapNone/>
            <wp:docPr id="16" name="Picture 16" descr="C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Colle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95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C6EF3" w14:textId="44559EF0" w:rsidR="003B78C0" w:rsidRDefault="003B78C0" w:rsidP="005D0704">
      <w:pPr>
        <w:rPr>
          <w:rFonts w:ascii="Arial" w:hAnsi="Arial" w:cs="Arial"/>
          <w:b/>
          <w:bCs/>
          <w:sz w:val="36"/>
          <w:szCs w:val="36"/>
        </w:rPr>
      </w:pPr>
    </w:p>
    <w:p w14:paraId="78744722" w14:textId="130BA749" w:rsidR="00F94D45" w:rsidRPr="00572854" w:rsidRDefault="00CD1E1B" w:rsidP="005D0704">
      <w:pPr>
        <w:rPr>
          <w:rFonts w:ascii="Arial" w:hAnsi="Arial" w:cs="Arial"/>
          <w:color w:val="0070C0"/>
          <w:sz w:val="40"/>
          <w:szCs w:val="40"/>
        </w:rPr>
      </w:pPr>
      <w:r w:rsidRPr="00572854">
        <w:rPr>
          <w:rFonts w:ascii="Arial" w:hAnsi="Arial" w:cs="Arial"/>
          <w:color w:val="0070C0"/>
          <w:sz w:val="40"/>
          <w:szCs w:val="40"/>
        </w:rPr>
        <w:t>Fees, Refunds &amp; Cancellation Policy 2025-26</w:t>
      </w:r>
      <w:r w:rsidRPr="00572854">
        <w:rPr>
          <w:rFonts w:ascii="Arial" w:hAnsi="Arial" w:cs="Arial"/>
          <w:color w:val="0070C0"/>
          <w:sz w:val="40"/>
          <w:szCs w:val="40"/>
        </w:rPr>
        <w:br/>
        <w:t>Effective From: August 2025</w:t>
      </w:r>
    </w:p>
    <w:p w14:paraId="5D6C1A68" w14:textId="5B730E91" w:rsidR="005F5037" w:rsidRPr="00572854" w:rsidRDefault="005F5037" w:rsidP="005F5037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 xml:space="preserve">1. </w:t>
      </w:r>
      <w:r w:rsidR="00CD1E1B" w:rsidRPr="00572854">
        <w:rPr>
          <w:rFonts w:ascii="Arial" w:hAnsi="Arial" w:cs="Arial"/>
          <w:b/>
          <w:bCs/>
          <w:sz w:val="24"/>
          <w:szCs w:val="24"/>
        </w:rPr>
        <w:t>Policy Aims</w:t>
      </w:r>
      <w:r w:rsidR="00CD1E1B" w:rsidRPr="00572854">
        <w:rPr>
          <w:rFonts w:ascii="Arial" w:hAnsi="Arial" w:cs="Arial"/>
          <w:sz w:val="24"/>
          <w:szCs w:val="24"/>
        </w:rPr>
        <w:br/>
        <w:t>This policy sets out the framework for charges applied to publicly funded and non-funded courses, guiding all staff involved in advice, guidance, enquiries, applications and enrolment to:</w:t>
      </w:r>
    </w:p>
    <w:p w14:paraId="2DD636D4" w14:textId="77777777" w:rsidR="005F5037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Explain total course fees and their constituent parts</w:t>
      </w:r>
    </w:p>
    <w:p w14:paraId="758DBA5A" w14:textId="77777777" w:rsidR="005F5037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Outline payment methods and schedules</w:t>
      </w:r>
    </w:p>
    <w:p w14:paraId="5A0A8EEE" w14:textId="77777777" w:rsidR="005F5037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Clarify external funding body regulations on fee remission</w:t>
      </w:r>
    </w:p>
    <w:p w14:paraId="1291D7BE" w14:textId="77777777" w:rsidR="005F5037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Detail refund and cancellation procedures</w:t>
      </w:r>
    </w:p>
    <w:p w14:paraId="6778C566" w14:textId="77777777" w:rsidR="005F5037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Describe financial support mechanisms (bursaries, hardship funds)</w:t>
      </w:r>
    </w:p>
    <w:p w14:paraId="04188844" w14:textId="0E40D003" w:rsidR="00F94D45" w:rsidRPr="00572854" w:rsidRDefault="00CD1E1B" w:rsidP="005F5037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Promote responsible use of public funding and learner commitment</w:t>
      </w:r>
    </w:p>
    <w:p w14:paraId="17586B30" w14:textId="3623C93C" w:rsidR="005F5037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2. Policy Scope</w:t>
      </w:r>
      <w:r w:rsidRPr="00572854">
        <w:rPr>
          <w:rFonts w:ascii="Arial" w:hAnsi="Arial" w:cs="Arial"/>
          <w:sz w:val="24"/>
          <w:szCs w:val="24"/>
        </w:rPr>
        <w:br/>
        <w:t>City College Peterborough (CCP) maintains a fair, transparent and responsible policy for setting fees, refunds and cancellations, in line with:</w:t>
      </w:r>
    </w:p>
    <w:p w14:paraId="25E60CB1" w14:textId="77777777" w:rsidR="005F5037" w:rsidRPr="00572854" w:rsidRDefault="00CD1E1B" w:rsidP="005F50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Government policies and priorities</w:t>
      </w:r>
    </w:p>
    <w:p w14:paraId="0EA1E3C0" w14:textId="682F63DF" w:rsidR="005F5037" w:rsidRPr="00572854" w:rsidRDefault="00CD1E1B" w:rsidP="005F50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Cambridgeshire and Peterborough Combined Authority (CPCA) and</w:t>
      </w:r>
      <w:r w:rsidR="005F5037" w:rsidRPr="00572854">
        <w:rPr>
          <w:rFonts w:ascii="Arial" w:hAnsi="Arial" w:cs="Arial"/>
          <w:sz w:val="24"/>
          <w:szCs w:val="24"/>
        </w:rPr>
        <w:t xml:space="preserve"> </w:t>
      </w:r>
      <w:r w:rsidRPr="00572854">
        <w:rPr>
          <w:rFonts w:ascii="Arial" w:hAnsi="Arial" w:cs="Arial"/>
          <w:sz w:val="24"/>
          <w:szCs w:val="24"/>
        </w:rPr>
        <w:t>Education and Skills Funding Agency (</w:t>
      </w:r>
      <w:r w:rsidR="00C97803">
        <w:rPr>
          <w:rFonts w:ascii="Arial" w:hAnsi="Arial" w:cs="Arial"/>
          <w:sz w:val="24"/>
          <w:szCs w:val="24"/>
        </w:rPr>
        <w:t>DFE</w:t>
      </w:r>
      <w:r w:rsidRPr="00572854">
        <w:rPr>
          <w:rFonts w:ascii="Arial" w:hAnsi="Arial" w:cs="Arial"/>
          <w:sz w:val="24"/>
          <w:szCs w:val="24"/>
        </w:rPr>
        <w:t>) funding guidance</w:t>
      </w:r>
    </w:p>
    <w:p w14:paraId="03E9A9CD" w14:textId="77777777" w:rsidR="005F5037" w:rsidRPr="00572854" w:rsidRDefault="00CD1E1B" w:rsidP="005F50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Local and national economic conditions</w:t>
      </w:r>
    </w:p>
    <w:p w14:paraId="3C304835" w14:textId="032A2C14" w:rsidR="00F94D45" w:rsidRPr="00572854" w:rsidRDefault="00CD1E1B" w:rsidP="005F503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The needs of diverse local communities</w:t>
      </w:r>
    </w:p>
    <w:p w14:paraId="234EF93D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Funded learning is a significant public investment; learners are expected to </w:t>
      </w:r>
      <w:proofErr w:type="spellStart"/>
      <w:r w:rsidRPr="00572854">
        <w:rPr>
          <w:rFonts w:ascii="Arial" w:hAnsi="Arial" w:cs="Arial"/>
          <w:sz w:val="24"/>
          <w:szCs w:val="24"/>
        </w:rPr>
        <w:t>honour</w:t>
      </w:r>
      <w:proofErr w:type="spellEnd"/>
      <w:r w:rsidRPr="00572854">
        <w:rPr>
          <w:rFonts w:ascii="Arial" w:hAnsi="Arial" w:cs="Arial"/>
          <w:sz w:val="24"/>
          <w:szCs w:val="24"/>
        </w:rPr>
        <w:t xml:space="preserve"> their commitment by attending, engaging fully, and completing their studies.</w:t>
      </w:r>
    </w:p>
    <w:p w14:paraId="6C8D3F97" w14:textId="230F41B0" w:rsidR="005F5037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3. Roles &amp; Responsibilities</w:t>
      </w:r>
      <w:r w:rsidRPr="00572854">
        <w:rPr>
          <w:rFonts w:ascii="Arial" w:hAnsi="Arial" w:cs="Arial"/>
          <w:sz w:val="24"/>
          <w:szCs w:val="24"/>
        </w:rPr>
        <w:br/>
        <w:t>This policy applies to all learners and staff involved in learner engagement, enrolment, finance, and curriculum management.</w:t>
      </w:r>
    </w:p>
    <w:p w14:paraId="722E8D6C" w14:textId="77777777" w:rsidR="005F5037" w:rsidRPr="00572854" w:rsidRDefault="00CD1E1B" w:rsidP="005F503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Curriculum Leads: Monitor enrolments, viability, and learning outcomes.</w:t>
      </w:r>
    </w:p>
    <w:p w14:paraId="22FF801F" w14:textId="77777777" w:rsidR="005F5037" w:rsidRPr="00572854" w:rsidRDefault="00CD1E1B" w:rsidP="005F503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Centre Manager, Finance &amp; Data Manager: Oversee fee collection and reporting.</w:t>
      </w:r>
    </w:p>
    <w:p w14:paraId="611FF879" w14:textId="5AD9154D" w:rsidR="005F5037" w:rsidRPr="00572854" w:rsidRDefault="005F5037" w:rsidP="005F503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Adult Education Budget Manager</w:t>
      </w:r>
      <w:r w:rsidR="00CD1E1B" w:rsidRPr="00572854">
        <w:rPr>
          <w:rFonts w:ascii="Arial" w:hAnsi="Arial" w:cs="Arial"/>
          <w:sz w:val="24"/>
          <w:szCs w:val="24"/>
        </w:rPr>
        <w:t xml:space="preserve">: Maintain and review the policy annually, ensuring </w:t>
      </w:r>
      <w:r w:rsidRPr="00572854">
        <w:rPr>
          <w:rFonts w:ascii="Arial" w:hAnsi="Arial" w:cs="Arial"/>
          <w:sz w:val="24"/>
          <w:szCs w:val="24"/>
        </w:rPr>
        <w:t>Advisory Board</w:t>
      </w:r>
      <w:r w:rsidR="00CD1E1B" w:rsidRPr="00572854">
        <w:rPr>
          <w:rFonts w:ascii="Arial" w:hAnsi="Arial" w:cs="Arial"/>
          <w:sz w:val="24"/>
          <w:szCs w:val="24"/>
        </w:rPr>
        <w:t xml:space="preserve"> approval.</w:t>
      </w:r>
    </w:p>
    <w:p w14:paraId="27BC66CA" w14:textId="3D6EDCF8" w:rsidR="00F94D45" w:rsidRPr="00572854" w:rsidRDefault="00CD1E1B" w:rsidP="005F503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lastRenderedPageBreak/>
        <w:t>Finance, Property &amp; Staffing Committee: Monitor compliance and recommend improvements.</w:t>
      </w:r>
    </w:p>
    <w:p w14:paraId="2756FC3A" w14:textId="77777777" w:rsidR="00F466BC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4. Definitions</w:t>
      </w:r>
    </w:p>
    <w:p w14:paraId="4146C12E" w14:textId="77777777" w:rsidR="00F466BC" w:rsidRPr="00572854" w:rsidRDefault="00CD1E1B" w:rsidP="00F466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CPCA: Cambridgeshire and Peterborough Combined Authority</w:t>
      </w:r>
    </w:p>
    <w:p w14:paraId="01C00DC2" w14:textId="3C437406" w:rsidR="00F94D45" w:rsidRPr="00572854" w:rsidRDefault="004D215C" w:rsidP="00F466BC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DFE: Department </w:t>
      </w:r>
      <w:r w:rsidR="00C97803">
        <w:rPr>
          <w:rFonts w:ascii="Arial" w:hAnsi="Arial" w:cs="Arial"/>
          <w:sz w:val="24"/>
          <w:szCs w:val="24"/>
        </w:rPr>
        <w:t>for Education</w:t>
      </w:r>
    </w:p>
    <w:p w14:paraId="3FDC6BB2" w14:textId="77777777" w:rsidR="00F94D45" w:rsidRPr="00572854" w:rsidRDefault="00CD1E1B">
      <w:pPr>
        <w:rPr>
          <w:rFonts w:ascii="Arial" w:hAnsi="Arial" w:cs="Arial"/>
          <w:b/>
          <w:bCs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5. Types of Delivery</w:t>
      </w:r>
    </w:p>
    <w:p w14:paraId="48BA7B57" w14:textId="575B4F57" w:rsidR="00F466BC" w:rsidRPr="00572854" w:rsidRDefault="00CD1E1B">
      <w:pPr>
        <w:rPr>
          <w:rFonts w:ascii="Arial" w:hAnsi="Arial" w:cs="Arial"/>
          <w:i/>
          <w:iCs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 xml:space="preserve">5.1 </w:t>
      </w:r>
      <w:r w:rsidR="00F466BC" w:rsidRPr="00572854">
        <w:rPr>
          <w:rFonts w:ascii="Arial" w:hAnsi="Arial" w:cs="Arial"/>
          <w:i/>
          <w:iCs/>
          <w:sz w:val="24"/>
          <w:szCs w:val="24"/>
        </w:rPr>
        <w:t>Adult Skills Fund courses, Tailored Learning</w:t>
      </w:r>
      <w:r w:rsidR="003A65E5" w:rsidRPr="00572854">
        <w:rPr>
          <w:rFonts w:ascii="Arial" w:hAnsi="Arial" w:cs="Arial"/>
          <w:i/>
          <w:iCs/>
          <w:sz w:val="24"/>
          <w:szCs w:val="24"/>
        </w:rPr>
        <w:t xml:space="preserve">, </w:t>
      </w:r>
      <w:r w:rsidR="00F466BC" w:rsidRPr="00572854">
        <w:rPr>
          <w:rFonts w:ascii="Arial" w:hAnsi="Arial" w:cs="Arial"/>
          <w:i/>
          <w:iCs/>
          <w:sz w:val="24"/>
          <w:szCs w:val="24"/>
        </w:rPr>
        <w:t xml:space="preserve">Free Courses for Jobs </w:t>
      </w:r>
      <w:r w:rsidR="003A65E5" w:rsidRPr="00572854">
        <w:rPr>
          <w:rFonts w:ascii="Arial" w:hAnsi="Arial" w:cs="Arial"/>
          <w:i/>
          <w:iCs/>
          <w:sz w:val="24"/>
          <w:szCs w:val="24"/>
        </w:rPr>
        <w:t xml:space="preserve">and Learner Support Hardship Funding. </w:t>
      </w:r>
    </w:p>
    <w:p w14:paraId="2FCA3968" w14:textId="77777777" w:rsidR="00F466BC" w:rsidRPr="00572854" w:rsidRDefault="00CD1E1B" w:rsidP="00F466B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These courses attract government funding.</w:t>
      </w:r>
    </w:p>
    <w:p w14:paraId="771D489B" w14:textId="7FE9E5A8" w:rsidR="009514C3" w:rsidRPr="00572854" w:rsidRDefault="00CD1E1B" w:rsidP="00F466B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Eligibility follows CPCA and </w:t>
      </w:r>
      <w:r w:rsidR="00C97803">
        <w:rPr>
          <w:rFonts w:ascii="Arial" w:hAnsi="Arial" w:cs="Arial"/>
          <w:sz w:val="24"/>
          <w:szCs w:val="24"/>
        </w:rPr>
        <w:t>DFE</w:t>
      </w:r>
      <w:r w:rsidRPr="00572854">
        <w:rPr>
          <w:rFonts w:ascii="Arial" w:hAnsi="Arial" w:cs="Arial"/>
          <w:sz w:val="24"/>
          <w:szCs w:val="24"/>
        </w:rPr>
        <w:t xml:space="preserve"> rules, including residency for the past 3 years.</w:t>
      </w:r>
      <w:r w:rsidR="00320D4D" w:rsidRPr="00572854">
        <w:rPr>
          <w:rFonts w:ascii="Arial" w:hAnsi="Arial" w:cs="Arial"/>
          <w:sz w:val="24"/>
          <w:szCs w:val="24"/>
        </w:rPr>
        <w:t xml:space="preserve"> </w:t>
      </w:r>
      <w:r w:rsidR="00347161">
        <w:rPr>
          <w:rFonts w:ascii="Arial" w:hAnsi="Arial" w:cs="Arial"/>
          <w:sz w:val="24"/>
          <w:szCs w:val="24"/>
        </w:rPr>
        <w:t xml:space="preserve">Eligibility guidance can be found below or upon request. </w:t>
      </w:r>
    </w:p>
    <w:p w14:paraId="47ADE169" w14:textId="6C72ABE0" w:rsidR="00262EB0" w:rsidRPr="00347161" w:rsidRDefault="00320D4D" w:rsidP="00347161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CPCA eligibility guidance can be found </w:t>
      </w:r>
      <w:r w:rsidR="00134DC6" w:rsidRPr="00572854">
        <w:rPr>
          <w:rFonts w:ascii="Arial" w:hAnsi="Arial" w:cs="Arial"/>
          <w:sz w:val="24"/>
          <w:szCs w:val="24"/>
        </w:rPr>
        <w:t>online:</w:t>
      </w:r>
      <w:r w:rsidR="00262EB0" w:rsidRPr="00572854">
        <w:rPr>
          <w:rFonts w:ascii="Arial" w:hAnsi="Arial" w:cs="Arial"/>
          <w:sz w:val="24"/>
          <w:szCs w:val="24"/>
        </w:rPr>
        <w:t xml:space="preserve"> </w:t>
      </w:r>
      <w:r w:rsidR="00504307" w:rsidRPr="00572854">
        <w:rPr>
          <w:rFonts w:ascii="Arial" w:hAnsi="Arial" w:cs="Arial"/>
          <w:sz w:val="24"/>
          <w:szCs w:val="24"/>
        </w:rPr>
        <w:t>https://cambridgeshirepeterborough-ca.gov.uk/how-we-deliver/library/skills-library/</w:t>
      </w:r>
    </w:p>
    <w:p w14:paraId="14BFABE1" w14:textId="43AE26BF" w:rsidR="004D215C" w:rsidRPr="004D215C" w:rsidRDefault="004D215C" w:rsidP="004D215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DFE</w:t>
      </w:r>
      <w:r w:rsidR="00320D4D" w:rsidRPr="00572854">
        <w:rPr>
          <w:rFonts w:ascii="Arial" w:hAnsi="Arial" w:cs="Arial"/>
          <w:sz w:val="24"/>
          <w:szCs w:val="24"/>
        </w:rPr>
        <w:t xml:space="preserve"> guidance can be found</w:t>
      </w:r>
      <w:r w:rsidR="00134DC6" w:rsidRPr="00572854">
        <w:rPr>
          <w:rFonts w:ascii="Arial" w:hAnsi="Arial" w:cs="Arial"/>
          <w:sz w:val="24"/>
          <w:szCs w:val="24"/>
        </w:rPr>
        <w:t xml:space="preserve"> online:</w:t>
      </w:r>
      <w:r>
        <w:rPr>
          <w:rFonts w:ascii="Arial" w:hAnsi="Arial" w:cs="Arial"/>
          <w:sz w:val="24"/>
          <w:szCs w:val="24"/>
        </w:rPr>
        <w:t xml:space="preserve"> </w:t>
      </w:r>
      <w:r w:rsidRPr="004D215C">
        <w:rPr>
          <w:rFonts w:ascii="Arial" w:hAnsi="Arial" w:cs="Arial"/>
          <w:sz w:val="24"/>
          <w:szCs w:val="24"/>
        </w:rPr>
        <w:t>https://www.gov.uk/government/publications/adult-education-and-skills-funding-allocations-guidance/adult-education-and-skills-funding-allocations-update-for-2025-to-2026</w:t>
      </w:r>
    </w:p>
    <w:p w14:paraId="061C698E" w14:textId="601AC14E" w:rsidR="00F94D45" w:rsidRPr="00572854" w:rsidRDefault="00CD1E1B" w:rsidP="00F466B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Learners may be entitled to fully funded or co-funded places.</w:t>
      </w:r>
    </w:p>
    <w:p w14:paraId="49CEBC68" w14:textId="77777777" w:rsidR="00F466BC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>5.1.1 Learner Commitments</w:t>
      </w:r>
      <w:r w:rsidRPr="00572854">
        <w:rPr>
          <w:rFonts w:ascii="Arial" w:hAnsi="Arial" w:cs="Arial"/>
          <w:sz w:val="24"/>
          <w:szCs w:val="24"/>
        </w:rPr>
        <w:br/>
        <w:t>Funded learners must:</w:t>
      </w:r>
    </w:p>
    <w:p w14:paraId="5E5D54D7" w14:textId="50ACB8EC" w:rsidR="00F466BC" w:rsidRPr="00572854" w:rsidRDefault="00CD1E1B" w:rsidP="00F466B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Attend all scheduled </w:t>
      </w:r>
      <w:r w:rsidR="003A65E5" w:rsidRPr="00572854">
        <w:rPr>
          <w:rFonts w:ascii="Arial" w:hAnsi="Arial" w:cs="Arial"/>
          <w:sz w:val="24"/>
          <w:szCs w:val="24"/>
        </w:rPr>
        <w:t xml:space="preserve">classes, </w:t>
      </w:r>
      <w:r w:rsidRPr="00572854">
        <w:rPr>
          <w:rFonts w:ascii="Arial" w:hAnsi="Arial" w:cs="Arial"/>
          <w:sz w:val="24"/>
          <w:szCs w:val="24"/>
        </w:rPr>
        <w:t>assessments</w:t>
      </w:r>
      <w:r w:rsidR="003A65E5" w:rsidRPr="00572854">
        <w:rPr>
          <w:rFonts w:ascii="Arial" w:hAnsi="Arial" w:cs="Arial"/>
          <w:sz w:val="24"/>
          <w:szCs w:val="24"/>
        </w:rPr>
        <w:t xml:space="preserve"> and exams</w:t>
      </w:r>
    </w:p>
    <w:p w14:paraId="77341386" w14:textId="77777777" w:rsidR="00F466BC" w:rsidRPr="00572854" w:rsidRDefault="00CD1E1B" w:rsidP="00F466B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Engage actively and meet coursework deadlines</w:t>
      </w:r>
    </w:p>
    <w:p w14:paraId="0B0A278F" w14:textId="5BF8E9F4" w:rsidR="00F94D45" w:rsidRPr="00572854" w:rsidRDefault="00CD1E1B" w:rsidP="00F466B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Inform the College promptly of any absence or difficulties</w:t>
      </w:r>
    </w:p>
    <w:p w14:paraId="1F9C4A8E" w14:textId="2FE76994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Failure to meet these commitments may result in withdrawal</w:t>
      </w:r>
      <w:r w:rsidR="003A65E5" w:rsidRPr="00572854">
        <w:rPr>
          <w:rFonts w:ascii="Arial" w:hAnsi="Arial" w:cs="Arial"/>
          <w:sz w:val="24"/>
          <w:szCs w:val="24"/>
        </w:rPr>
        <w:t xml:space="preserve">. Withdrawal may result in </w:t>
      </w:r>
      <w:r w:rsidRPr="00572854">
        <w:rPr>
          <w:rFonts w:ascii="Arial" w:hAnsi="Arial" w:cs="Arial"/>
          <w:sz w:val="24"/>
          <w:szCs w:val="24"/>
        </w:rPr>
        <w:t>financial penalties</w:t>
      </w:r>
      <w:r w:rsidR="003A65E5" w:rsidRPr="00572854">
        <w:rPr>
          <w:rFonts w:ascii="Arial" w:hAnsi="Arial" w:cs="Arial"/>
          <w:sz w:val="24"/>
          <w:szCs w:val="24"/>
        </w:rPr>
        <w:t xml:space="preserve"> attributed to the incurred costs by City College Peterborough and the loss of funding associated with lower learner numbers on programmes. </w:t>
      </w:r>
    </w:p>
    <w:p w14:paraId="46F2B864" w14:textId="2B35D302" w:rsidR="00F11C98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>5.1.2 Withdrawal or Non-Attendance Charges</w:t>
      </w:r>
      <w:r w:rsidRPr="00572854">
        <w:rPr>
          <w:rFonts w:ascii="Arial" w:hAnsi="Arial" w:cs="Arial"/>
          <w:sz w:val="24"/>
          <w:szCs w:val="24"/>
        </w:rPr>
        <w:br/>
        <w:t>Learners on fully funded courses may be charged a withdrawal fee of £125</w:t>
      </w:r>
      <w:r w:rsidR="005C5E38">
        <w:rPr>
          <w:rFonts w:ascii="Arial" w:hAnsi="Arial" w:cs="Arial"/>
          <w:sz w:val="24"/>
          <w:szCs w:val="24"/>
        </w:rPr>
        <w:t>,</w:t>
      </w:r>
      <w:r w:rsidRPr="00572854">
        <w:rPr>
          <w:rFonts w:ascii="Arial" w:hAnsi="Arial" w:cs="Arial"/>
          <w:sz w:val="24"/>
          <w:szCs w:val="24"/>
        </w:rPr>
        <w:t xml:space="preserve"> </w:t>
      </w:r>
      <w:r w:rsidR="002774F0">
        <w:rPr>
          <w:rFonts w:ascii="Arial" w:hAnsi="Arial" w:cs="Arial"/>
          <w:sz w:val="24"/>
          <w:szCs w:val="24"/>
        </w:rPr>
        <w:t xml:space="preserve">for incurred </w:t>
      </w:r>
      <w:r w:rsidR="005C5E38">
        <w:rPr>
          <w:rFonts w:ascii="Arial" w:hAnsi="Arial" w:cs="Arial"/>
          <w:sz w:val="24"/>
          <w:szCs w:val="24"/>
        </w:rPr>
        <w:t xml:space="preserve">costs and loss of funding, </w:t>
      </w:r>
      <w:r w:rsidRPr="00572854">
        <w:rPr>
          <w:rFonts w:ascii="Arial" w:hAnsi="Arial" w:cs="Arial"/>
          <w:sz w:val="24"/>
          <w:szCs w:val="24"/>
        </w:rPr>
        <w:t>if they:</w:t>
      </w:r>
    </w:p>
    <w:p w14:paraId="33E80128" w14:textId="722F3CB7" w:rsidR="00F11C98" w:rsidRPr="00572854" w:rsidRDefault="00CD1E1B" w:rsidP="00F11C9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Fail to </w:t>
      </w:r>
      <w:r w:rsidR="00865FDA">
        <w:rPr>
          <w:rFonts w:ascii="Arial" w:hAnsi="Arial" w:cs="Arial"/>
          <w:sz w:val="24"/>
          <w:szCs w:val="24"/>
        </w:rPr>
        <w:t>start their course without giving 2 weeks’ notice</w:t>
      </w:r>
    </w:p>
    <w:p w14:paraId="244A4226" w14:textId="6378D7FC" w:rsidR="00F11C98" w:rsidRPr="00572854" w:rsidRDefault="00CD1E1B" w:rsidP="00F11C9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Withdraw without giving 2 weeks’ notice</w:t>
      </w:r>
    </w:p>
    <w:p w14:paraId="49E4E681" w14:textId="305D329C" w:rsidR="00F94D45" w:rsidRPr="00572854" w:rsidRDefault="00CD1E1B" w:rsidP="00F11C9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Are withdrawn due to poor attendance</w:t>
      </w:r>
      <w:r w:rsidR="005D0704" w:rsidRPr="00572854">
        <w:rPr>
          <w:rFonts w:ascii="Arial" w:hAnsi="Arial" w:cs="Arial"/>
          <w:sz w:val="24"/>
          <w:szCs w:val="24"/>
        </w:rPr>
        <w:t xml:space="preserve"> </w:t>
      </w:r>
      <w:r w:rsidR="006D0101">
        <w:rPr>
          <w:rFonts w:ascii="Arial" w:hAnsi="Arial" w:cs="Arial"/>
          <w:sz w:val="24"/>
          <w:szCs w:val="24"/>
        </w:rPr>
        <w:t>overall or low</w:t>
      </w:r>
      <w:r w:rsidR="005D0704" w:rsidRPr="00572854">
        <w:rPr>
          <w:rFonts w:ascii="Arial" w:hAnsi="Arial" w:cs="Arial"/>
          <w:sz w:val="24"/>
          <w:szCs w:val="24"/>
        </w:rPr>
        <w:t xml:space="preserve"> exam attendance.</w:t>
      </w:r>
    </w:p>
    <w:p w14:paraId="6D6BB030" w14:textId="5F34D7CC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Exceptions may apply for illness, bereavement, redundancy or significant life changes, subject to evidence</w:t>
      </w:r>
      <w:r w:rsidR="00423341" w:rsidRPr="00572854">
        <w:rPr>
          <w:rFonts w:ascii="Arial" w:hAnsi="Arial" w:cs="Arial"/>
          <w:sz w:val="24"/>
          <w:szCs w:val="24"/>
        </w:rPr>
        <w:t>, such as doctors fit note or redundancy letter,</w:t>
      </w:r>
      <w:r w:rsidRPr="00572854">
        <w:rPr>
          <w:rFonts w:ascii="Arial" w:hAnsi="Arial" w:cs="Arial"/>
          <w:sz w:val="24"/>
          <w:szCs w:val="24"/>
        </w:rPr>
        <w:t xml:space="preserve"> and approval by the Adult Education Manager</w:t>
      </w:r>
      <w:r w:rsidR="00F11C98" w:rsidRPr="00572854">
        <w:rPr>
          <w:rFonts w:ascii="Arial" w:hAnsi="Arial" w:cs="Arial"/>
          <w:sz w:val="24"/>
          <w:szCs w:val="24"/>
        </w:rPr>
        <w:t xml:space="preserve"> on a case-by-case basis</w:t>
      </w:r>
      <w:r w:rsidRPr="00572854">
        <w:rPr>
          <w:rFonts w:ascii="Arial" w:hAnsi="Arial" w:cs="Arial"/>
          <w:sz w:val="24"/>
          <w:szCs w:val="24"/>
        </w:rPr>
        <w:t>.</w:t>
      </w:r>
    </w:p>
    <w:p w14:paraId="57530CA9" w14:textId="08C18EE3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lastRenderedPageBreak/>
        <w:t>5.1.3 Appeals</w:t>
      </w:r>
      <w:r w:rsidRPr="00572854">
        <w:rPr>
          <w:rFonts w:ascii="Arial" w:hAnsi="Arial" w:cs="Arial"/>
          <w:sz w:val="24"/>
          <w:szCs w:val="24"/>
        </w:rPr>
        <w:br/>
        <w:t>Learners may appeal any withdrawal</w:t>
      </w:r>
      <w:r w:rsidR="00F11C98" w:rsidRPr="00572854">
        <w:rPr>
          <w:rFonts w:ascii="Arial" w:hAnsi="Arial" w:cs="Arial"/>
          <w:sz w:val="24"/>
          <w:szCs w:val="24"/>
        </w:rPr>
        <w:t xml:space="preserve"> or failure to start </w:t>
      </w:r>
      <w:r w:rsidRPr="00572854">
        <w:rPr>
          <w:rFonts w:ascii="Arial" w:hAnsi="Arial" w:cs="Arial"/>
          <w:sz w:val="24"/>
          <w:szCs w:val="24"/>
        </w:rPr>
        <w:t>charges by submitting a written appeal within 14 days to the Adult Education Manager.</w:t>
      </w:r>
      <w:r w:rsidR="00593EE8" w:rsidRPr="00572854">
        <w:rPr>
          <w:rFonts w:ascii="Arial" w:hAnsi="Arial" w:cs="Arial"/>
          <w:sz w:val="24"/>
          <w:szCs w:val="24"/>
        </w:rPr>
        <w:t xml:space="preserve"> </w:t>
      </w:r>
      <w:r w:rsidR="00620571" w:rsidRPr="00572854">
        <w:rPr>
          <w:rFonts w:ascii="Arial" w:hAnsi="Arial" w:cs="Arial"/>
          <w:sz w:val="24"/>
          <w:szCs w:val="24"/>
        </w:rPr>
        <w:t xml:space="preserve">Appeals will be </w:t>
      </w:r>
      <w:proofErr w:type="gramStart"/>
      <w:r w:rsidR="00620571" w:rsidRPr="00572854">
        <w:rPr>
          <w:rFonts w:ascii="Arial" w:hAnsi="Arial" w:cs="Arial"/>
          <w:sz w:val="24"/>
          <w:szCs w:val="24"/>
        </w:rPr>
        <w:t>reviewed</w:t>
      </w:r>
      <w:proofErr w:type="gramEnd"/>
      <w:r w:rsidR="00620571" w:rsidRPr="00572854">
        <w:rPr>
          <w:rFonts w:ascii="Arial" w:hAnsi="Arial" w:cs="Arial"/>
          <w:sz w:val="24"/>
          <w:szCs w:val="24"/>
        </w:rPr>
        <w:t xml:space="preserve"> and a decision will be made no more than </w:t>
      </w:r>
      <w:r w:rsidR="004A49DA" w:rsidRPr="00572854">
        <w:rPr>
          <w:rFonts w:ascii="Arial" w:hAnsi="Arial" w:cs="Arial"/>
          <w:sz w:val="24"/>
          <w:szCs w:val="24"/>
        </w:rPr>
        <w:t xml:space="preserve">14 days </w:t>
      </w:r>
      <w:proofErr w:type="gramStart"/>
      <w:r w:rsidR="004A49DA" w:rsidRPr="00572854">
        <w:rPr>
          <w:rFonts w:ascii="Arial" w:hAnsi="Arial" w:cs="Arial"/>
          <w:sz w:val="24"/>
          <w:szCs w:val="24"/>
        </w:rPr>
        <w:t>from</w:t>
      </w:r>
      <w:proofErr w:type="gramEnd"/>
      <w:r w:rsidR="004A49DA" w:rsidRPr="00572854">
        <w:rPr>
          <w:rFonts w:ascii="Arial" w:hAnsi="Arial" w:cs="Arial"/>
          <w:sz w:val="24"/>
          <w:szCs w:val="24"/>
        </w:rPr>
        <w:t xml:space="preserve"> the date of submission. </w:t>
      </w:r>
    </w:p>
    <w:p w14:paraId="2819868A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>5.1.4 Future Enrolments</w:t>
      </w:r>
      <w:r w:rsidRPr="00572854">
        <w:rPr>
          <w:rFonts w:ascii="Arial" w:hAnsi="Arial" w:cs="Arial"/>
          <w:sz w:val="24"/>
          <w:szCs w:val="24"/>
        </w:rPr>
        <w:br/>
        <w:t>Learners who withdraw without valid reason may not be eligible for future fully funded courses.</w:t>
      </w:r>
    </w:p>
    <w:p w14:paraId="0B62A783" w14:textId="77777777" w:rsidR="00320D4D" w:rsidRPr="00572854" w:rsidRDefault="00CD1E1B" w:rsidP="00320D4D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>5.2 Advanced Learner Loans</w:t>
      </w:r>
      <w:r w:rsidRPr="00572854">
        <w:rPr>
          <w:rFonts w:ascii="Arial" w:hAnsi="Arial" w:cs="Arial"/>
          <w:sz w:val="24"/>
          <w:szCs w:val="24"/>
        </w:rPr>
        <w:br/>
      </w:r>
      <w:r w:rsidR="00320D4D" w:rsidRPr="00572854">
        <w:rPr>
          <w:rFonts w:ascii="Arial" w:hAnsi="Arial" w:cs="Arial"/>
          <w:sz w:val="24"/>
          <w:szCs w:val="24"/>
        </w:rPr>
        <w:t xml:space="preserve">You may be eligible for a 19+ Advanced Learning Loan if you are 19 years of age or over, have lived in the UK for 3 years or more and qualify under the UK government’s loan guidelines and studying for a level 3-6 qualification without having to pay a lump sum or large upfront fee. </w:t>
      </w:r>
    </w:p>
    <w:p w14:paraId="764B191F" w14:textId="31EA3094" w:rsidR="00F94D45" w:rsidRPr="00572854" w:rsidRDefault="00320D4D" w:rsidP="00320D4D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For further information about the criteria and how to apply for a loan, check out the government’s website</w:t>
      </w:r>
      <w:r w:rsidR="002C327A" w:rsidRPr="00572854">
        <w:rPr>
          <w:rFonts w:ascii="Arial" w:hAnsi="Arial" w:cs="Arial"/>
          <w:sz w:val="24"/>
          <w:szCs w:val="24"/>
        </w:rPr>
        <w:t>:</w:t>
      </w:r>
      <w:r w:rsidRPr="00572854">
        <w:rPr>
          <w:rFonts w:ascii="Arial" w:hAnsi="Arial" w:cs="Arial"/>
          <w:sz w:val="24"/>
          <w:szCs w:val="24"/>
        </w:rPr>
        <w:t xml:space="preserve"> </w:t>
      </w:r>
      <w:r w:rsidR="009435E3" w:rsidRPr="00572854">
        <w:rPr>
          <w:rFonts w:ascii="Arial" w:hAnsi="Arial" w:cs="Arial"/>
          <w:i/>
          <w:iCs/>
          <w:sz w:val="24"/>
          <w:szCs w:val="24"/>
        </w:rPr>
        <w:t>https://www.gov.uk/advanced-learner-loan/how-to-apply</w:t>
      </w:r>
      <w:r w:rsidRPr="00572854">
        <w:rPr>
          <w:rFonts w:ascii="Arial" w:hAnsi="Arial" w:cs="Arial"/>
          <w:i/>
          <w:iCs/>
          <w:sz w:val="24"/>
          <w:szCs w:val="24"/>
        </w:rPr>
        <w:t>.</w:t>
      </w:r>
    </w:p>
    <w:p w14:paraId="04BDCD45" w14:textId="77777777" w:rsidR="00F11C98" w:rsidRPr="00572854" w:rsidRDefault="00CD1E1B">
      <w:pPr>
        <w:rPr>
          <w:rFonts w:ascii="Arial" w:hAnsi="Arial" w:cs="Arial"/>
          <w:i/>
          <w:iCs/>
          <w:sz w:val="24"/>
          <w:szCs w:val="24"/>
        </w:rPr>
      </w:pPr>
      <w:r w:rsidRPr="00572854">
        <w:rPr>
          <w:rFonts w:ascii="Arial" w:hAnsi="Arial" w:cs="Arial"/>
          <w:i/>
          <w:iCs/>
          <w:sz w:val="24"/>
          <w:szCs w:val="24"/>
        </w:rPr>
        <w:t>5.3 Personal Interest Courses (Full Cost)</w:t>
      </w:r>
    </w:p>
    <w:p w14:paraId="357CFD18" w14:textId="77777777" w:rsidR="00F11C98" w:rsidRPr="00572854" w:rsidRDefault="00CD1E1B" w:rsidP="00F11C98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These courses do not attract government funding.</w:t>
      </w:r>
    </w:p>
    <w:p w14:paraId="21994135" w14:textId="77777777" w:rsidR="00F11C98" w:rsidRPr="00572854" w:rsidRDefault="00CD1E1B" w:rsidP="00F11C98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Fees are set to cover full delivery costs.</w:t>
      </w:r>
    </w:p>
    <w:p w14:paraId="3A0FB4EC" w14:textId="71D55E8D" w:rsidR="00F94D45" w:rsidRPr="00572854" w:rsidRDefault="00CD1E1B" w:rsidP="00F11C98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Over-60s who are unwaged may be eligible for a concession.</w:t>
      </w:r>
    </w:p>
    <w:p w14:paraId="2CFAE9E3" w14:textId="77777777" w:rsidR="00320D4D" w:rsidRPr="00572854" w:rsidRDefault="00CD1E1B">
      <w:pPr>
        <w:rPr>
          <w:rFonts w:ascii="Arial" w:hAnsi="Arial" w:cs="Arial"/>
          <w:b/>
          <w:bCs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6. Payments</w:t>
      </w:r>
    </w:p>
    <w:p w14:paraId="74E28CA5" w14:textId="77777777" w:rsidR="00320D4D" w:rsidRPr="00572854" w:rsidRDefault="00CD1E1B" w:rsidP="00320D4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Cash, debit/credit card, or online.</w:t>
      </w:r>
    </w:p>
    <w:p w14:paraId="65B5EC3E" w14:textId="0015A3A1" w:rsidR="00320D4D" w:rsidRPr="00572854" w:rsidRDefault="00CD1E1B" w:rsidP="00320D4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Deposits: 50% </w:t>
      </w:r>
      <w:r w:rsidR="005D0704" w:rsidRPr="00572854">
        <w:rPr>
          <w:rFonts w:ascii="Arial" w:hAnsi="Arial" w:cs="Arial"/>
          <w:sz w:val="24"/>
          <w:szCs w:val="24"/>
        </w:rPr>
        <w:t xml:space="preserve">non-refundable </w:t>
      </w:r>
      <w:r w:rsidRPr="00572854">
        <w:rPr>
          <w:rFonts w:ascii="Arial" w:hAnsi="Arial" w:cs="Arial"/>
          <w:sz w:val="24"/>
          <w:szCs w:val="24"/>
        </w:rPr>
        <w:t>deposit for courses under £100.</w:t>
      </w:r>
      <w:r w:rsidR="005D0704" w:rsidRPr="00572854">
        <w:rPr>
          <w:rFonts w:ascii="Arial" w:hAnsi="Arial" w:cs="Arial"/>
          <w:sz w:val="24"/>
          <w:szCs w:val="24"/>
        </w:rPr>
        <w:t xml:space="preserve"> The remaining 50% of the payment will be requested prior to the start of the course.</w:t>
      </w:r>
    </w:p>
    <w:p w14:paraId="4AACC22A" w14:textId="7115DBE6" w:rsidR="005D0704" w:rsidRPr="00572854" w:rsidRDefault="00CD1E1B" w:rsidP="005D0704">
      <w:pPr>
        <w:pStyle w:val="ListParagraph"/>
        <w:numPr>
          <w:ilvl w:val="0"/>
          <w:numId w:val="21"/>
        </w:numPr>
        <w:ind w:hanging="436"/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Instalments: Available for courses over £100.</w:t>
      </w:r>
      <w:r w:rsidR="005D0704" w:rsidRPr="00572854">
        <w:rPr>
          <w:rFonts w:ascii="Arial" w:hAnsi="Arial" w:cs="Arial"/>
          <w:sz w:val="24"/>
          <w:szCs w:val="24"/>
        </w:rPr>
        <w:t xml:space="preserve"> Payment by instalments can be arranged by speaking to our Customer Service team. The initial payment should be made at enrolment followed by 3 monthly instalments</w:t>
      </w:r>
    </w:p>
    <w:p w14:paraId="6080B2C8" w14:textId="4720F23A" w:rsidR="00320D4D" w:rsidRPr="00572854" w:rsidRDefault="005D0704" w:rsidP="005D0704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Note:</w:t>
      </w:r>
      <w:r w:rsidRPr="00572854">
        <w:rPr>
          <w:rFonts w:ascii="Arial" w:hAnsi="Arial" w:cs="Arial"/>
          <w:sz w:val="24"/>
          <w:szCs w:val="24"/>
        </w:rPr>
        <w:t xml:space="preserve"> When payment by instalments is agreed, the learner is agreeing to full payment for the course before the courses </w:t>
      </w:r>
      <w:proofErr w:type="gramStart"/>
      <w:r w:rsidRPr="00572854">
        <w:rPr>
          <w:rFonts w:ascii="Arial" w:hAnsi="Arial" w:cs="Arial"/>
          <w:sz w:val="24"/>
          <w:szCs w:val="24"/>
        </w:rPr>
        <w:t>ends</w:t>
      </w:r>
      <w:proofErr w:type="gramEnd"/>
      <w:r w:rsidRPr="00572854">
        <w:rPr>
          <w:rFonts w:ascii="Arial" w:hAnsi="Arial" w:cs="Arial"/>
          <w:sz w:val="24"/>
          <w:szCs w:val="24"/>
        </w:rPr>
        <w:t xml:space="preserve"> and will be liable for full charges subject to the booking being made.</w:t>
      </w:r>
      <w:r w:rsidR="00903212" w:rsidRPr="00572854">
        <w:rPr>
          <w:rFonts w:ascii="Arial" w:hAnsi="Arial" w:cs="Arial"/>
          <w:sz w:val="24"/>
          <w:szCs w:val="24"/>
        </w:rPr>
        <w:t xml:space="preserve"> Failure to adhere to the </w:t>
      </w:r>
      <w:proofErr w:type="gramStart"/>
      <w:r w:rsidR="00903212" w:rsidRPr="00572854">
        <w:rPr>
          <w:rFonts w:ascii="Arial" w:hAnsi="Arial" w:cs="Arial"/>
          <w:sz w:val="24"/>
          <w:szCs w:val="24"/>
        </w:rPr>
        <w:t>installment</w:t>
      </w:r>
      <w:proofErr w:type="gramEnd"/>
      <w:r w:rsidR="00903212" w:rsidRPr="00572854">
        <w:rPr>
          <w:rFonts w:ascii="Arial" w:hAnsi="Arial" w:cs="Arial"/>
          <w:sz w:val="24"/>
          <w:szCs w:val="24"/>
        </w:rPr>
        <w:t xml:space="preserve"> agreement may result in full collection of the remaining outstanding fee</w:t>
      </w:r>
      <w:r w:rsidR="00996D37" w:rsidRPr="00572854">
        <w:rPr>
          <w:rFonts w:ascii="Arial" w:hAnsi="Arial" w:cs="Arial"/>
          <w:sz w:val="24"/>
          <w:szCs w:val="24"/>
        </w:rPr>
        <w:t xml:space="preserve"> and termination of the installment agreement. </w:t>
      </w:r>
    </w:p>
    <w:p w14:paraId="7C8A4325" w14:textId="316C3EFC" w:rsidR="00320D4D" w:rsidRPr="00572854" w:rsidRDefault="00CD1E1B" w:rsidP="00320D4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Employer invoices </w:t>
      </w:r>
      <w:r w:rsidR="00320D4D" w:rsidRPr="00572854">
        <w:rPr>
          <w:rFonts w:ascii="Arial" w:hAnsi="Arial" w:cs="Arial"/>
          <w:sz w:val="24"/>
          <w:szCs w:val="24"/>
        </w:rPr>
        <w:t>are accepted</w:t>
      </w:r>
      <w:r w:rsidRPr="00572854">
        <w:rPr>
          <w:rFonts w:ascii="Arial" w:hAnsi="Arial" w:cs="Arial"/>
          <w:sz w:val="24"/>
          <w:szCs w:val="24"/>
        </w:rPr>
        <w:t xml:space="preserve"> with evidence.</w:t>
      </w:r>
    </w:p>
    <w:p w14:paraId="079C828D" w14:textId="6A8E9F83" w:rsidR="00F94D45" w:rsidRPr="00572854" w:rsidRDefault="00CD1E1B" w:rsidP="00320D4D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Concessionary evidence must be submitted within 7 days of booking.</w:t>
      </w:r>
    </w:p>
    <w:p w14:paraId="1A491346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Failure to settle fees may result in refusal of access to courses and/or legal action.</w:t>
      </w:r>
    </w:p>
    <w:p w14:paraId="7C873998" w14:textId="77777777" w:rsidR="005D0704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lastRenderedPageBreak/>
        <w:t>7. Refunds</w:t>
      </w:r>
      <w:r w:rsidRPr="00572854">
        <w:rPr>
          <w:rFonts w:ascii="Arial" w:hAnsi="Arial" w:cs="Arial"/>
          <w:sz w:val="24"/>
          <w:szCs w:val="24"/>
        </w:rPr>
        <w:br/>
        <w:t>Automatic refunds will be given where:</w:t>
      </w:r>
    </w:p>
    <w:p w14:paraId="67768BB6" w14:textId="77777777" w:rsidR="005D0704" w:rsidRPr="00572854" w:rsidRDefault="00CD1E1B" w:rsidP="005D070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CCP cancels a course</w:t>
      </w:r>
    </w:p>
    <w:p w14:paraId="37EBC63D" w14:textId="77777777" w:rsidR="005D0704" w:rsidRPr="00572854" w:rsidRDefault="00CD1E1B" w:rsidP="005D070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The learner cancels with at least 14 days’ notice</w:t>
      </w:r>
    </w:p>
    <w:p w14:paraId="007512D1" w14:textId="39B6E13D" w:rsidR="00F94D45" w:rsidRPr="00572854" w:rsidRDefault="00CD1E1B" w:rsidP="005D0704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The learner withdraws due to illness, with medical evidence</w:t>
      </w:r>
    </w:p>
    <w:p w14:paraId="265F79C0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Refunds will not be given for short courses (fewer than 2 sessions) except </w:t>
      </w:r>
      <w:proofErr w:type="gramStart"/>
      <w:r w:rsidRPr="00572854">
        <w:rPr>
          <w:rFonts w:ascii="Arial" w:hAnsi="Arial" w:cs="Arial"/>
          <w:sz w:val="24"/>
          <w:szCs w:val="24"/>
        </w:rPr>
        <w:t>where</w:t>
      </w:r>
      <w:proofErr w:type="gramEnd"/>
      <w:r w:rsidRPr="00572854">
        <w:rPr>
          <w:rFonts w:ascii="Arial" w:hAnsi="Arial" w:cs="Arial"/>
          <w:sz w:val="24"/>
          <w:szCs w:val="24"/>
        </w:rPr>
        <w:t xml:space="preserve"> cancelled by CCP.</w:t>
      </w:r>
    </w:p>
    <w:p w14:paraId="37CE7978" w14:textId="3E1B42DA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Refunds will be processed based on the original payment method</w:t>
      </w:r>
      <w:r w:rsidR="00996D37" w:rsidRPr="00572854">
        <w:rPr>
          <w:rFonts w:ascii="Arial" w:hAnsi="Arial" w:cs="Arial"/>
          <w:sz w:val="24"/>
          <w:szCs w:val="24"/>
        </w:rPr>
        <w:t xml:space="preserve"> within 14 working days. </w:t>
      </w:r>
    </w:p>
    <w:p w14:paraId="75E380D4" w14:textId="77777777" w:rsidR="005D0704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8. Cancellation of Courses</w:t>
      </w:r>
      <w:r w:rsidRPr="00572854">
        <w:rPr>
          <w:rFonts w:ascii="Arial" w:hAnsi="Arial" w:cs="Arial"/>
          <w:sz w:val="24"/>
          <w:szCs w:val="24"/>
        </w:rPr>
        <w:br/>
      </w:r>
      <w:proofErr w:type="spellStart"/>
      <w:r w:rsidRPr="00572854">
        <w:rPr>
          <w:rFonts w:ascii="Arial" w:hAnsi="Arial" w:cs="Arial"/>
          <w:sz w:val="24"/>
          <w:szCs w:val="24"/>
        </w:rPr>
        <w:t>Courses</w:t>
      </w:r>
      <w:proofErr w:type="spellEnd"/>
      <w:r w:rsidRPr="00572854">
        <w:rPr>
          <w:rFonts w:ascii="Arial" w:hAnsi="Arial" w:cs="Arial"/>
          <w:sz w:val="24"/>
          <w:szCs w:val="24"/>
        </w:rPr>
        <w:t xml:space="preserve"> may be cancelled or altered where:</w:t>
      </w:r>
    </w:p>
    <w:p w14:paraId="5EAEC20C" w14:textId="77777777" w:rsidR="005D0704" w:rsidRPr="00572854" w:rsidRDefault="00CD1E1B" w:rsidP="005D070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Enrolments or attendance are insufficient</w:t>
      </w:r>
    </w:p>
    <w:p w14:paraId="0716B0D9" w14:textId="6F4B6532" w:rsidR="00F94D45" w:rsidRPr="00572854" w:rsidRDefault="00CD1E1B" w:rsidP="005D0704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The course tutor is </w:t>
      </w:r>
      <w:r w:rsidR="005D0704" w:rsidRPr="00572854">
        <w:rPr>
          <w:rFonts w:ascii="Arial" w:hAnsi="Arial" w:cs="Arial"/>
          <w:sz w:val="24"/>
          <w:szCs w:val="24"/>
        </w:rPr>
        <w:t>unavailable,</w:t>
      </w:r>
      <w:r w:rsidRPr="00572854">
        <w:rPr>
          <w:rFonts w:ascii="Arial" w:hAnsi="Arial" w:cs="Arial"/>
          <w:sz w:val="24"/>
          <w:szCs w:val="24"/>
        </w:rPr>
        <w:t xml:space="preserve"> and no substitute is found</w:t>
      </w:r>
    </w:p>
    <w:p w14:paraId="0C8B3220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Learners will receive a full or pro-rata refund if a course is cancelled. Changes to time, day or venue may entitle learners to a refund under specific circumstances.</w:t>
      </w:r>
    </w:p>
    <w:p w14:paraId="530EBF6E" w14:textId="77777777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If courses are moved online for public health reasons, no refunds will be issued.</w:t>
      </w:r>
    </w:p>
    <w:p w14:paraId="4975EEB8" w14:textId="77777777" w:rsidR="005D0704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9. Linked Documents</w:t>
      </w:r>
    </w:p>
    <w:p w14:paraId="698CC7B4" w14:textId="4C235020" w:rsidR="00F94D45" w:rsidRPr="00572854" w:rsidRDefault="00CD1E1B" w:rsidP="005D070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Learner Handbook</w:t>
      </w:r>
    </w:p>
    <w:p w14:paraId="13EA20D8" w14:textId="256D817F" w:rsidR="003A65E5" w:rsidRPr="00572854" w:rsidRDefault="003A65E5" w:rsidP="003A65E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ASF Attendance Strategy</w:t>
      </w:r>
    </w:p>
    <w:p w14:paraId="7E48D781" w14:textId="35366B7B" w:rsidR="003A65E5" w:rsidRPr="00572854" w:rsidRDefault="003A65E5" w:rsidP="003A65E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ASF Learner Support Strategy</w:t>
      </w:r>
    </w:p>
    <w:p w14:paraId="731BAAA3" w14:textId="560E96B4" w:rsidR="003A65E5" w:rsidRPr="00572854" w:rsidRDefault="003A65E5" w:rsidP="003A65E5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Important Information Learner Agreement</w:t>
      </w:r>
    </w:p>
    <w:p w14:paraId="17E93876" w14:textId="02766AC1" w:rsidR="005D0704" w:rsidRPr="00572854" w:rsidRDefault="00CD1E1B" w:rsidP="003A65E5">
      <w:pPr>
        <w:ind w:left="360"/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b/>
          <w:bCs/>
          <w:sz w:val="24"/>
          <w:szCs w:val="24"/>
        </w:rPr>
        <w:t>Document Control</w:t>
      </w:r>
    </w:p>
    <w:p w14:paraId="3DADC402" w14:textId="77777777" w:rsidR="005D0704" w:rsidRPr="00572854" w:rsidRDefault="00CD1E1B" w:rsidP="005D070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Revision Date: </w:t>
      </w:r>
      <w:r w:rsidR="005F5037" w:rsidRPr="00572854">
        <w:rPr>
          <w:rFonts w:ascii="Arial" w:hAnsi="Arial" w:cs="Arial"/>
          <w:sz w:val="24"/>
          <w:szCs w:val="24"/>
        </w:rPr>
        <w:t>May</w:t>
      </w:r>
      <w:r w:rsidRPr="00572854">
        <w:rPr>
          <w:rFonts w:ascii="Arial" w:hAnsi="Arial" w:cs="Arial"/>
          <w:sz w:val="24"/>
          <w:szCs w:val="24"/>
        </w:rPr>
        <w:t xml:space="preserve"> 2025</w:t>
      </w:r>
    </w:p>
    <w:p w14:paraId="65A8DA23" w14:textId="77777777" w:rsidR="005D0704" w:rsidRPr="00572854" w:rsidRDefault="00CD1E1B" w:rsidP="005D070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Next Review Due: July 2026</w:t>
      </w:r>
    </w:p>
    <w:p w14:paraId="4280F9F2" w14:textId="77777777" w:rsidR="005D0704" w:rsidRPr="00572854" w:rsidRDefault="00CD1E1B" w:rsidP="005D070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Document Lead and Author: </w:t>
      </w:r>
      <w:r w:rsidR="005F5037" w:rsidRPr="00572854">
        <w:rPr>
          <w:rFonts w:ascii="Arial" w:hAnsi="Arial" w:cs="Arial"/>
          <w:sz w:val="24"/>
          <w:szCs w:val="24"/>
        </w:rPr>
        <w:t>Sarah Perkins, Adult Education Budget Manager</w:t>
      </w:r>
    </w:p>
    <w:p w14:paraId="58D6359B" w14:textId="7922AE2D" w:rsidR="00F94D45" w:rsidRPr="00572854" w:rsidRDefault="00CD1E1B" w:rsidP="005D070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 xml:space="preserve">Approvers: Leadership Team and </w:t>
      </w:r>
      <w:r w:rsidR="005F5037" w:rsidRPr="00572854">
        <w:rPr>
          <w:rFonts w:ascii="Arial" w:hAnsi="Arial" w:cs="Arial"/>
          <w:sz w:val="24"/>
          <w:szCs w:val="24"/>
        </w:rPr>
        <w:t xml:space="preserve">Advisory Board. </w:t>
      </w:r>
    </w:p>
    <w:p w14:paraId="4519E616" w14:textId="7BB9B69F" w:rsidR="00F94D45" w:rsidRPr="00572854" w:rsidRDefault="00CD1E1B">
      <w:pPr>
        <w:rPr>
          <w:rFonts w:ascii="Arial" w:hAnsi="Arial" w:cs="Arial"/>
          <w:sz w:val="24"/>
          <w:szCs w:val="24"/>
        </w:rPr>
      </w:pPr>
      <w:r w:rsidRPr="00572854">
        <w:rPr>
          <w:rFonts w:ascii="Arial" w:hAnsi="Arial" w:cs="Arial"/>
          <w:sz w:val="24"/>
          <w:szCs w:val="24"/>
        </w:rPr>
        <w:t>This policy version is valid only if viewed via City College Peterborough’s intranet. Always check the version date on the document footer.</w:t>
      </w:r>
    </w:p>
    <w:sectPr w:rsidR="00F94D45" w:rsidRPr="00572854" w:rsidSect="00BB1935">
      <w:pgSz w:w="12240" w:h="15840"/>
      <w:pgMar w:top="851" w:right="1800" w:bottom="85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EBBF" w14:textId="77777777" w:rsidR="00A21198" w:rsidRDefault="00A21198" w:rsidP="00572854">
      <w:pPr>
        <w:spacing w:after="0" w:line="240" w:lineRule="auto"/>
      </w:pPr>
      <w:r>
        <w:separator/>
      </w:r>
    </w:p>
  </w:endnote>
  <w:endnote w:type="continuationSeparator" w:id="0">
    <w:p w14:paraId="7C6F083F" w14:textId="77777777" w:rsidR="00A21198" w:rsidRDefault="00A21198" w:rsidP="0057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FB50" w14:textId="77777777" w:rsidR="00A21198" w:rsidRDefault="00A21198" w:rsidP="00572854">
      <w:pPr>
        <w:spacing w:after="0" w:line="240" w:lineRule="auto"/>
      </w:pPr>
      <w:r>
        <w:separator/>
      </w:r>
    </w:p>
  </w:footnote>
  <w:footnote w:type="continuationSeparator" w:id="0">
    <w:p w14:paraId="44771709" w14:textId="77777777" w:rsidR="00A21198" w:rsidRDefault="00A21198" w:rsidP="0057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3C52C5"/>
    <w:multiLevelType w:val="hybridMultilevel"/>
    <w:tmpl w:val="3FDC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2527D"/>
    <w:multiLevelType w:val="hybridMultilevel"/>
    <w:tmpl w:val="AB38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810B7"/>
    <w:multiLevelType w:val="hybridMultilevel"/>
    <w:tmpl w:val="212CF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D7D05"/>
    <w:multiLevelType w:val="hybridMultilevel"/>
    <w:tmpl w:val="060C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240E8"/>
    <w:multiLevelType w:val="hybridMultilevel"/>
    <w:tmpl w:val="7A28C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22CD0"/>
    <w:multiLevelType w:val="hybridMultilevel"/>
    <w:tmpl w:val="C542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613DD"/>
    <w:multiLevelType w:val="hybridMultilevel"/>
    <w:tmpl w:val="7C8EC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83082"/>
    <w:multiLevelType w:val="hybridMultilevel"/>
    <w:tmpl w:val="2C52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7DC1"/>
    <w:multiLevelType w:val="hybridMultilevel"/>
    <w:tmpl w:val="32CAB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474"/>
    <w:multiLevelType w:val="hybridMultilevel"/>
    <w:tmpl w:val="605C3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87641"/>
    <w:multiLevelType w:val="hybridMultilevel"/>
    <w:tmpl w:val="D31E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B2F5D"/>
    <w:multiLevelType w:val="hybridMultilevel"/>
    <w:tmpl w:val="85464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05C0F"/>
    <w:multiLevelType w:val="hybridMultilevel"/>
    <w:tmpl w:val="09B4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3478"/>
    <w:multiLevelType w:val="hybridMultilevel"/>
    <w:tmpl w:val="5802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B296E"/>
    <w:multiLevelType w:val="hybridMultilevel"/>
    <w:tmpl w:val="E0748596"/>
    <w:lvl w:ilvl="0" w:tplc="43C8A13A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DB87BDF"/>
    <w:multiLevelType w:val="hybridMultilevel"/>
    <w:tmpl w:val="DB1C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41B9C"/>
    <w:multiLevelType w:val="hybridMultilevel"/>
    <w:tmpl w:val="BD4C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858467">
    <w:abstractNumId w:val="8"/>
  </w:num>
  <w:num w:numId="2" w16cid:durableId="2046637806">
    <w:abstractNumId w:val="6"/>
  </w:num>
  <w:num w:numId="3" w16cid:durableId="1505436775">
    <w:abstractNumId w:val="5"/>
  </w:num>
  <w:num w:numId="4" w16cid:durableId="1541626989">
    <w:abstractNumId w:val="4"/>
  </w:num>
  <w:num w:numId="5" w16cid:durableId="1755980038">
    <w:abstractNumId w:val="7"/>
  </w:num>
  <w:num w:numId="6" w16cid:durableId="2051881812">
    <w:abstractNumId w:val="3"/>
  </w:num>
  <w:num w:numId="7" w16cid:durableId="503787726">
    <w:abstractNumId w:val="2"/>
  </w:num>
  <w:num w:numId="8" w16cid:durableId="1686784878">
    <w:abstractNumId w:val="1"/>
  </w:num>
  <w:num w:numId="9" w16cid:durableId="1138572698">
    <w:abstractNumId w:val="0"/>
  </w:num>
  <w:num w:numId="10" w16cid:durableId="1825005005">
    <w:abstractNumId w:val="18"/>
  </w:num>
  <w:num w:numId="11" w16cid:durableId="551620692">
    <w:abstractNumId w:val="11"/>
  </w:num>
  <w:num w:numId="12" w16cid:durableId="339091722">
    <w:abstractNumId w:val="16"/>
  </w:num>
  <w:num w:numId="13" w16cid:durableId="2139833578">
    <w:abstractNumId w:val="21"/>
  </w:num>
  <w:num w:numId="14" w16cid:durableId="1461649425">
    <w:abstractNumId w:val="13"/>
  </w:num>
  <w:num w:numId="15" w16cid:durableId="1189024117">
    <w:abstractNumId w:val="25"/>
  </w:num>
  <w:num w:numId="16" w16cid:durableId="1065254095">
    <w:abstractNumId w:val="22"/>
  </w:num>
  <w:num w:numId="17" w16cid:durableId="172955774">
    <w:abstractNumId w:val="19"/>
  </w:num>
  <w:num w:numId="18" w16cid:durableId="165175692">
    <w:abstractNumId w:val="9"/>
  </w:num>
  <w:num w:numId="19" w16cid:durableId="1313413768">
    <w:abstractNumId w:val="12"/>
  </w:num>
  <w:num w:numId="20" w16cid:durableId="1039359200">
    <w:abstractNumId w:val="20"/>
  </w:num>
  <w:num w:numId="21" w16cid:durableId="1791896609">
    <w:abstractNumId w:val="14"/>
  </w:num>
  <w:num w:numId="22" w16cid:durableId="1736472091">
    <w:abstractNumId w:val="15"/>
  </w:num>
  <w:num w:numId="23" w16cid:durableId="1284581887">
    <w:abstractNumId w:val="17"/>
  </w:num>
  <w:num w:numId="24" w16cid:durableId="1793354017">
    <w:abstractNumId w:val="24"/>
  </w:num>
  <w:num w:numId="25" w16cid:durableId="2063745792">
    <w:abstractNumId w:val="10"/>
  </w:num>
  <w:num w:numId="26" w16cid:durableId="20676013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3B7"/>
    <w:rsid w:val="00134DC6"/>
    <w:rsid w:val="0015074B"/>
    <w:rsid w:val="00262EB0"/>
    <w:rsid w:val="002774F0"/>
    <w:rsid w:val="0029639D"/>
    <w:rsid w:val="002C327A"/>
    <w:rsid w:val="00320D4D"/>
    <w:rsid w:val="00326F90"/>
    <w:rsid w:val="00347161"/>
    <w:rsid w:val="003A65E5"/>
    <w:rsid w:val="003B78C0"/>
    <w:rsid w:val="00423341"/>
    <w:rsid w:val="00454D99"/>
    <w:rsid w:val="004A49DA"/>
    <w:rsid w:val="004B01F6"/>
    <w:rsid w:val="004D215C"/>
    <w:rsid w:val="00504307"/>
    <w:rsid w:val="00572854"/>
    <w:rsid w:val="00593EE8"/>
    <w:rsid w:val="005C5E38"/>
    <w:rsid w:val="005D0704"/>
    <w:rsid w:val="005F5037"/>
    <w:rsid w:val="00620571"/>
    <w:rsid w:val="0062138D"/>
    <w:rsid w:val="00647A38"/>
    <w:rsid w:val="006642FC"/>
    <w:rsid w:val="00690898"/>
    <w:rsid w:val="006A611B"/>
    <w:rsid w:val="006D0101"/>
    <w:rsid w:val="00865FDA"/>
    <w:rsid w:val="00903212"/>
    <w:rsid w:val="0091004A"/>
    <w:rsid w:val="009435E3"/>
    <w:rsid w:val="009514C3"/>
    <w:rsid w:val="00996D37"/>
    <w:rsid w:val="00A21198"/>
    <w:rsid w:val="00A31F13"/>
    <w:rsid w:val="00AA1D8D"/>
    <w:rsid w:val="00B47730"/>
    <w:rsid w:val="00BB1935"/>
    <w:rsid w:val="00C83D76"/>
    <w:rsid w:val="00C97803"/>
    <w:rsid w:val="00CB0664"/>
    <w:rsid w:val="00CD1E1B"/>
    <w:rsid w:val="00D159EF"/>
    <w:rsid w:val="00F11C98"/>
    <w:rsid w:val="00F466BC"/>
    <w:rsid w:val="00F4795C"/>
    <w:rsid w:val="00F709B1"/>
    <w:rsid w:val="00F94D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D1C34"/>
  <w14:defaultImageDpi w14:val="300"/>
  <w15:docId w15:val="{A38912DB-A108-43FF-87C0-17C29AC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20D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D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2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E11EFE3EBF34FA422483349726390" ma:contentTypeVersion="4" ma:contentTypeDescription="Create a new document." ma:contentTypeScope="" ma:versionID="f84cd9897da27670edd650dc064f3c97">
  <xsd:schema xmlns:xsd="http://www.w3.org/2001/XMLSchema" xmlns:xs="http://www.w3.org/2001/XMLSchema" xmlns:p="http://schemas.microsoft.com/office/2006/metadata/properties" xmlns:ns2="d28af73d-0c0b-4c76-994e-c23c33c7eb38" targetNamespace="http://schemas.microsoft.com/office/2006/metadata/properties" ma:root="true" ma:fieldsID="cfb2a1dc68e0837ff9a3423e8c3ff74e" ns2:_="">
    <xsd:import namespace="d28af73d-0c0b-4c76-994e-c23c33c7e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f73d-0c0b-4c76-994e-c23c33c7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F2702-2BBA-43FA-87E0-90BAF3BB7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0A5EC1-6E41-4D9E-A4B5-F8DEE55CC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34CB01-CB77-475B-969E-16BAEBE0C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f73d-0c0b-4c76-994e-c23c33c7e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Perkins</cp:lastModifiedBy>
  <cp:revision>2</cp:revision>
  <dcterms:created xsi:type="dcterms:W3CDTF">2025-09-25T13:42:00Z</dcterms:created>
  <dcterms:modified xsi:type="dcterms:W3CDTF">2025-09-25T13:42:00Z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0x01010047FE11EFE3EBF34FA422483349726390</vt:lpwstr>
  </property>
</Properties>
</file>